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FC752D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</w:t>
      </w:r>
      <w:r w:rsidR="007B7553">
        <w:rPr>
          <w:sz w:val="28"/>
          <w:szCs w:val="28"/>
        </w:rPr>
        <w:t xml:space="preserve">в сфере </w:t>
      </w:r>
      <w:r w:rsidR="00B71DEA">
        <w:rPr>
          <w:sz w:val="28"/>
          <w:szCs w:val="28"/>
        </w:rPr>
        <w:t xml:space="preserve">грабежа </w:t>
      </w:r>
      <w:r w:rsidR="00BD43EC">
        <w:rPr>
          <w:sz w:val="28"/>
          <w:szCs w:val="28"/>
        </w:rPr>
        <w:t>в значительном размере</w:t>
      </w:r>
      <w:r w:rsidR="009C0A6C">
        <w:rPr>
          <w:sz w:val="28"/>
          <w:szCs w:val="28"/>
        </w:rPr>
        <w:t>.</w:t>
      </w:r>
    </w:p>
    <w:p w:rsidR="00B71DEA" w:rsidRPr="009C0A6C" w:rsidRDefault="00B71DEA" w:rsidP="00CB5C82">
      <w:pPr>
        <w:ind w:firstLine="709"/>
        <w:jc w:val="both"/>
        <w:rPr>
          <w:sz w:val="28"/>
          <w:szCs w:val="28"/>
        </w:rPr>
      </w:pPr>
    </w:p>
    <w:p w:rsidR="00FC752D" w:rsidRDefault="00CB5C82" w:rsidP="00FC7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B71DEA">
        <w:rPr>
          <w:sz w:val="28"/>
          <w:szCs w:val="28"/>
        </w:rPr>
        <w:t xml:space="preserve"> «а»</w:t>
      </w:r>
      <w:r w:rsidR="00EB5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</w:t>
      </w:r>
      <w:r w:rsidR="00B71DEA">
        <w:rPr>
          <w:sz w:val="28"/>
          <w:szCs w:val="28"/>
        </w:rPr>
        <w:t>2</w:t>
      </w:r>
      <w:r>
        <w:rPr>
          <w:sz w:val="28"/>
          <w:szCs w:val="28"/>
        </w:rPr>
        <w:t xml:space="preserve"> ст. </w:t>
      </w:r>
      <w:r w:rsidR="00BD43EC">
        <w:rPr>
          <w:sz w:val="28"/>
          <w:szCs w:val="28"/>
        </w:rPr>
        <w:t>1</w:t>
      </w:r>
      <w:r w:rsidR="00B71DEA">
        <w:rPr>
          <w:sz w:val="28"/>
          <w:szCs w:val="28"/>
        </w:rPr>
        <w:t>61</w:t>
      </w:r>
      <w:r>
        <w:rPr>
          <w:sz w:val="28"/>
          <w:szCs w:val="28"/>
        </w:rPr>
        <w:t xml:space="preserve"> УК РФ, в связи с</w:t>
      </w:r>
      <w:r w:rsidR="00BD43EC">
        <w:rPr>
          <w:sz w:val="28"/>
          <w:szCs w:val="28"/>
        </w:rPr>
        <w:t xml:space="preserve"> </w:t>
      </w:r>
      <w:r w:rsidR="00B71DEA">
        <w:rPr>
          <w:sz w:val="28"/>
          <w:szCs w:val="28"/>
        </w:rPr>
        <w:t>грабежом</w:t>
      </w:r>
      <w:r w:rsidR="00BD43EC">
        <w:rPr>
          <w:sz w:val="28"/>
          <w:szCs w:val="28"/>
        </w:rPr>
        <w:t xml:space="preserve"> в значительном размере</w:t>
      </w:r>
      <w:r w:rsidR="00FC752D">
        <w:rPr>
          <w:sz w:val="28"/>
          <w:szCs w:val="28"/>
        </w:rPr>
        <w:t xml:space="preserve">. 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1E0BAD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в период времени с 16 часов 52 минуты до 16 часов 59 минут 5 декабря 2024 года, Д. и П., действуя группой лиц, по предварительному сговору, находясь в пос. Сельцо Волосовского района Ленинградской области, умышленно, из корыстных побуждений, путем свободного доступа, открыто похитили различную товарную продукцию, всего на общую сумму 36 289 рублей, принадлежащую ИП, из пункта выдачи заказов «</w:t>
      </w:r>
      <w:proofErr w:type="spellStart"/>
      <w:r>
        <w:rPr>
          <w:sz w:val="28"/>
          <w:szCs w:val="28"/>
        </w:rPr>
        <w:t>Вайлдберриз</w:t>
      </w:r>
      <w:proofErr w:type="spellEnd"/>
      <w:r>
        <w:rPr>
          <w:sz w:val="28"/>
          <w:szCs w:val="28"/>
        </w:rPr>
        <w:t xml:space="preserve">», расположенном </w:t>
      </w:r>
      <w:r w:rsidR="006B6642">
        <w:rPr>
          <w:sz w:val="28"/>
          <w:szCs w:val="28"/>
        </w:rPr>
        <w:t xml:space="preserve">в д. 83 вышеуказанного населенного пункта, чем причинили ИП материальный ущерб в указанном размере. </w:t>
      </w:r>
    </w:p>
    <w:p w:rsidR="006B6642" w:rsidRDefault="006B6642" w:rsidP="00CB5C8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701C7"/>
    <w:rsid w:val="00184E4F"/>
    <w:rsid w:val="001B0C67"/>
    <w:rsid w:val="001E0BAD"/>
    <w:rsid w:val="00204B76"/>
    <w:rsid w:val="00222974"/>
    <w:rsid w:val="0027174C"/>
    <w:rsid w:val="00337D9A"/>
    <w:rsid w:val="003A74CB"/>
    <w:rsid w:val="003E6773"/>
    <w:rsid w:val="003F7443"/>
    <w:rsid w:val="00441B43"/>
    <w:rsid w:val="00444276"/>
    <w:rsid w:val="0045199D"/>
    <w:rsid w:val="0045499D"/>
    <w:rsid w:val="00531388"/>
    <w:rsid w:val="00563C7D"/>
    <w:rsid w:val="005837A8"/>
    <w:rsid w:val="00593CE2"/>
    <w:rsid w:val="005955D3"/>
    <w:rsid w:val="005B3B4A"/>
    <w:rsid w:val="005E6ECD"/>
    <w:rsid w:val="00602204"/>
    <w:rsid w:val="006B27F1"/>
    <w:rsid w:val="006B6642"/>
    <w:rsid w:val="006D47C3"/>
    <w:rsid w:val="007A0541"/>
    <w:rsid w:val="007B7553"/>
    <w:rsid w:val="0080411B"/>
    <w:rsid w:val="00826900"/>
    <w:rsid w:val="00827A37"/>
    <w:rsid w:val="008C1AA2"/>
    <w:rsid w:val="00926E23"/>
    <w:rsid w:val="00954025"/>
    <w:rsid w:val="00984F8B"/>
    <w:rsid w:val="00996F73"/>
    <w:rsid w:val="009B5F69"/>
    <w:rsid w:val="009C0A6C"/>
    <w:rsid w:val="00A83E13"/>
    <w:rsid w:val="00AA3D5D"/>
    <w:rsid w:val="00B11591"/>
    <w:rsid w:val="00B71DEA"/>
    <w:rsid w:val="00BA4677"/>
    <w:rsid w:val="00BA5742"/>
    <w:rsid w:val="00BB690C"/>
    <w:rsid w:val="00BD43EC"/>
    <w:rsid w:val="00CB5C82"/>
    <w:rsid w:val="00CF00D2"/>
    <w:rsid w:val="00EB5011"/>
    <w:rsid w:val="00EC011D"/>
    <w:rsid w:val="00F3072D"/>
    <w:rsid w:val="00F33FE0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2024-12-20T11:59:00Z</dcterms:created>
  <dcterms:modified xsi:type="dcterms:W3CDTF">2024-12-20T11:59:00Z</dcterms:modified>
</cp:coreProperties>
</file>