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513"/>
        <w:gridCol w:w="8592"/>
        <w:gridCol w:w="284"/>
      </w:tblGrid>
      <w:tr>
        <w:trPr>
          <w:trHeight w:val="4111" w:hRule="auto"/>
          <w:jc w:val="left"/>
        </w:trPr>
        <w:tc>
          <w:tcPr>
            <w:tcW w:w="143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30" w:leader="none"/>
              </w:tabs>
              <w:spacing w:before="0" w:after="0" w:line="240"/>
              <w:ind w:right="176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БЕЛОВА ЕЛЕНА АЛЕКСЕЕВНА</w:t>
            </w:r>
            <w:r>
              <w:rPr>
                <w:rFonts w:ascii="Calibri" w:hAnsi="Calibri" w:cs="Calibri" w:eastAsia="Calibri"/>
                <w:b/>
                <w:color w:val="auto"/>
                <w:spacing w:val="3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руководитель аналитического департамента Межрегиональной консалтинговой группы ICGM, преподаватель Финансовой академии при Правительстве РФ, Государственной академии специалистов инвестиционной сферы, практикующий специалист с многолетним опытом работы, автор ряда статей по методологии налогообложения и налоговым спорам, опубликованных в журналах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Консультант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Новое в бухгалтерском учете и отчетности в РФ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Москва).</w:t>
            </w:r>
          </w:p>
          <w:p>
            <w:pPr>
              <w:tabs>
                <w:tab w:val="left" w:pos="6130" w:leader="none"/>
              </w:tabs>
              <w:spacing w:before="0" w:after="0" w:line="240"/>
              <w:ind w:right="176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44"/>
                <w:shd w:fill="auto" w:val="clear"/>
              </w:rPr>
              <w:t xml:space="preserve">ЗАРАБОТНАЯ ПЛАТА в 2020 году.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Электронные трудовые книжки и новая отчетность в ПФР с 2020 года.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Изменение состава выплат, не облагаемых НДФЛ. Новый вид страхования с 2020 года.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Пилотный проект по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прямым выплатам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 ФСС РФ в Ленинградской области с 01 июля 2020 года!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Новые требования трудового законодательства об оплате труда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Выплата аванса (зарплаты за первую половину месяца) – особенности расчета, выбор срока выплаты, применение фиксированного размера аванса, минимальный размер аванса, надо ли выплачивать аванс и зарплату примерно равными частями, полноценный расчет заработка за первую половину месяца, досрочная выплата зарплаты.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Новый порядок оплаты за работу в выходные и праздничные дни – позиция Конституционного Суда РФ и разъяснения контролирующих органов.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Изменение правил оплаты сверхурочной работы и работы в ночное время.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Особенности оплаты дежурств медицинским работникам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выплачивать средний заработок за время прохождения диспансеризации?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B05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Право на смену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зарплатного банка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сроки смены банка и новые штрафы - изменения в ТК РФ (ФЗ №221-ФЗ, 231-ФЗ).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Статус разъяснений Роструда на портале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Онлайнинспекция.рф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Важные проекты изменений в трудовом законодательстве, электронные трудовые книжки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Перенос выходных дней в 2020 году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Изменение срока на оплату отпусков в ТК РФ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Новые сроки на оплату отпусков, предоставленных вне графика (по заявлению работника)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Новая обязанность сотрудницы предупредить о досрочном выходе из отпуска по уходу за ребенком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Принудительное взыскание с работодателя невыплаченной зарплаты при обращении в ГИТ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Электронный документооборот в трудовом законодательстве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Электронные трудовые книжки с 2020 года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Переход на проведение дистанционных проверок соблюдения требований трудового законодательства 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Новый ежемесячный отчет в ПФР “Сведения о трудовой деятельности” СЗВ-ТД с 01.01.2020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особенности его заполнения и сроки сдачи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Новая форма СЗИ-ТД с 01.01.2020, ее назначение и порядок заполнения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Новшества в системе оплаты труда в государственных и муниципальных учреждениях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Новый МРОТ с 01.01.2020.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Расчет среднего заработка из МРОТ: что надо доводить до МРОТ – средний заработок или размер выплат, как учесть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изменение МРОТ в расчетном периоде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Когда материальная помощь к отпуску включается в расчет среднего заработка? Позиция Верховного Суда РФ.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Перечень выплат, не включаемых в МРОТ, с учетом новых изменений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Постановление Конституционного Суда РФ от 11.04.2019 №17-П и особенности его применения при расчете заработной платы, отличия от прежней позиции Минтруда России.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Расчёт стоимости часа работы в целях оплаты сверхурочной работы, работы в выходные и праздничные дни (в т.ч. для стандартного и сменного графика работы, при суммированном учете)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варианты расчета с учетом новых требований, примеры и разъяснения.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Перечисление заработной платы и пособий из ФСС РФ на карты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Страховые взносы и отчетность в ПФР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Дополнительные контрольные соотношения для расчета по страховым взносам в целях контроля выплат работникам на соответствие МРОТ и МЗП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величины предельной базы по страховым взносам на 2020 год (проект)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Изменение правил сдачи расчётов по страховым взносам с 01.01.2020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Подтверждение присвоения СНИЛС: электронная форма АДИ-РЕГ вместо карточки СНИЛС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Новая форма РСВ с отчета за 1 квартал 2020 года.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Верховный Суд РФ подтвердил незаконность штрафа за дополнение СЗВ-М после уведомления ПФР 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запретил ПФР штрафовать организации, которые самостоятельно находят ошибки в СЗВ-М.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Новый ежемесячный отчет в ПФР “Сведения о трудовой деятельности” СЗВ-ТД с 01.01.2020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выдаваемых работнику при увольнении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Пилотный проект по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прямым выплатам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 ФСС РФ.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Участники пилотного проекта и регионы, присоединяющиеся к пилотному проекту с 01.07.2020. Цели и задачи пилотного проекта. Нормативные документы, регламентирующие порядок реализации пилотного проекта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Прямые выплаты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Ключевые особенности пилотного проекта. Перечень пособий, которые будут выплачиваться ФСС  работающим гражданам напрямую - на счет в банке или почтовым переводом и схема выплаты этих пособий. Схема взаимодействия при выплате пособий между работником, работодателем и отделением ФСС РФ. Особенности заполнения работниками заявления на выплату пособия. Порядок обращения за выплатами и алгоритм действий субъектов обязательного социального страхования. Подготовка и отправка в РО ФСС РФ реестра сведений о выплате пособий в электронном виде. Особенности назначения и выплаты пособия  в связи с несчастным случаем и оплаты отпуска застрахованного лица. Перечень выплат, которые при пилотном проекте работодатель делает только за счет собственных средств, а также за счет собственных средств с последующим возмещением из ФСС РФ. Порядок возмещения расходов страхователю на выплату социального пособия на погребение. Хранение оригиналов документов. Порядок предоставления информации, необходимой для выплаты пособий. Особенности действий в подготовительный и переходный период. Получение справок по НДФЛ из ФСС.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Планируемые изменения правил оформления и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выдачи больничных листов (появление новых сроков для выдачи больничных по беременности и родам, право продлевать бумажный больничный в электронном виде и наоборот, сокращение максимального срока больничного по травме и реконструктивным операциям, дополнение правил выдачи дубликатов больничных листов)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Порядка формирования листков нетрудоспособности в форме электронного документа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Принятые и планируемые изменения по НДФЛ, сложные вопросы исчисления НДФЛ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Новая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дата фактического получения дохода и новые правила обложения НДФЛ при списании безнадежного долга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Изменения по социальным вычетам на лечение в части приобретения лекарственных средств с 01.01.2019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Изменение состава выплат, не облагаемых НДФЛ, с 01.01.2020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Освобождение от НДФЛ единовременной компенсационной выплаты медработникам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 педагогам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Изменения по имущественным вычетам,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правила расчета цены сделки при реализации недвижимости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Изменение правил сдачи форм 2-НДФЛ и 6-НДФЛ и порядка уплаты НДФЛ организациями, имеющими обособленные подразделения.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сроков сдачи годовых форм 2-НДФЛ и 6-НДФЛ с 01.01.2020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Изменение критерия численности для сдачи форм 2-НДФЛ и 6-НДФЛ в электронной форме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Объединение форм 2-НДФЛ и 6-НДФЛ с 2021 года</w:t>
            </w:r>
          </w:p>
          <w:p>
            <w:pPr>
              <w:tabs>
                <w:tab w:val="left" w:pos="425" w:leader="none"/>
              </w:tabs>
              <w:spacing w:before="0" w:after="0" w:line="240"/>
              <w:ind w:right="176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Новое контрольное соотношение для форм 2-НДФЛ и 6-НДФЛ в целях контроля соответствия выплат размеру МРОТ (МЗП)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 для предоставления стандартных вычетов на детей</w:t>
            </w:r>
          </w:p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Особенности заполнения формы 6-НДФЛ при перерасчете сумм зарплаты, отпускных и НДФЛ в случае представления работником больничного листа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Ответы на вопросы и практические рекомендации.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" w:leader="none"/>
                <w:tab w:val="left" w:pos="340" w:leader="none"/>
              </w:tabs>
              <w:spacing w:before="0" w:after="0" w:line="240"/>
              <w:ind w:right="218" w:left="43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-4"/>
                <w:position w:val="0"/>
                <w:sz w:val="25"/>
                <w:shd w:fill="auto" w:val="clear"/>
              </w:rPr>
              <w:t xml:space="preserve">Стоимость участия:   </w:t>
            </w:r>
          </w:p>
        </w:tc>
        <w:tc>
          <w:tcPr>
            <w:tcW w:w="8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" w:leader="none"/>
                <w:tab w:val="left" w:pos="340" w:leader="none"/>
              </w:tabs>
              <w:spacing w:before="0" w:after="0" w:line="240"/>
              <w:ind w:right="21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6"/>
                <w:shd w:fill="auto" w:val="clear"/>
              </w:rPr>
              <w:t xml:space="preserve">5500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6"/>
                <w:shd w:fill="auto" w:val="clear"/>
              </w:rPr>
              <w:t xml:space="preserve">рублей. </w:t>
            </w:r>
          </w:p>
        </w:tc>
      </w:tr>
      <w:tr>
        <w:trPr>
          <w:trHeight w:val="1" w:hRule="atLeast"/>
          <w:jc w:val="left"/>
        </w:trPr>
        <w:tc>
          <w:tcPr>
            <w:tcW w:w="5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" w:leader="none"/>
                <w:tab w:val="left" w:pos="340" w:leader="none"/>
              </w:tabs>
              <w:spacing w:before="0" w:after="0" w:line="240"/>
              <w:ind w:right="218" w:left="43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-4"/>
                <w:position w:val="0"/>
                <w:sz w:val="26"/>
                <w:shd w:fill="auto" w:val="clear"/>
              </w:rPr>
              <w:t xml:space="preserve">Назначение платежа:</w:t>
            </w:r>
          </w:p>
        </w:tc>
        <w:tc>
          <w:tcPr>
            <w:tcW w:w="8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" w:leader="none"/>
                <w:tab w:val="left" w:pos="340" w:leader="none"/>
              </w:tabs>
              <w:spacing w:before="0" w:after="0" w:line="240"/>
              <w:ind w:right="218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За информационно-консультационные услуги (семинар) 17.12.2019.  НДС не облагается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5"/>
                <w:shd w:fill="auto" w:val="clear"/>
              </w:rPr>
              <w:t xml:space="preserve">».</w:t>
            </w:r>
          </w:p>
        </w:tc>
      </w:tr>
      <w:tr>
        <w:trPr>
          <w:trHeight w:val="490" w:hRule="auto"/>
          <w:jc w:val="left"/>
        </w:trPr>
        <w:tc>
          <w:tcPr>
            <w:tcW w:w="5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</w:tabs>
              <w:spacing w:before="0" w:after="0" w:line="240"/>
              <w:ind w:right="218" w:left="4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Каждому слушателю будет выдано:</w:t>
            </w:r>
          </w:p>
        </w:tc>
        <w:tc>
          <w:tcPr>
            <w:tcW w:w="8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center" w:pos="4677" w:leader="none"/>
              </w:tabs>
              <w:spacing w:before="0" w:after="0" w:line="240"/>
              <w:ind w:right="215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-8"/>
                <w:position w:val="0"/>
                <w:sz w:val="25"/>
                <w:shd w:fill="auto" w:val="clear"/>
              </w:rPr>
              <w:t xml:space="preserve">–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комплект информационно-справочных материалов, на электронном носителе или по E-mail;</w:t>
            </w:r>
          </w:p>
          <w:p>
            <w:pPr>
              <w:tabs>
                <w:tab w:val="left" w:pos="0" w:leader="none"/>
                <w:tab w:val="center" w:pos="4677" w:leader="none"/>
              </w:tabs>
              <w:spacing w:before="0" w:after="0" w:line="240"/>
              <w:ind w:right="215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канцелярские принадлежности;</w:t>
            </w:r>
          </w:p>
          <w:p>
            <w:pPr>
              <w:tabs>
                <w:tab w:val="left" w:pos="0" w:leader="none"/>
                <w:tab w:val="center" w:pos="4677" w:leader="none"/>
              </w:tabs>
              <w:spacing w:before="0" w:after="0" w:line="240"/>
              <w:ind w:right="215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–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сертификат</w:t>
            </w:r>
          </w:p>
        </w:tc>
      </w:tr>
      <w:tr>
        <w:trPr>
          <w:trHeight w:val="240" w:hRule="auto"/>
          <w:jc w:val="left"/>
        </w:trPr>
        <w:tc>
          <w:tcPr>
            <w:tcW w:w="5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</w:tabs>
              <w:spacing w:before="0" w:after="0" w:line="240"/>
              <w:ind w:right="218" w:left="4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Форма обучения:</w:t>
            </w:r>
          </w:p>
        </w:tc>
        <w:tc>
          <w:tcPr>
            <w:tcW w:w="8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center" w:pos="4677" w:leader="none"/>
              </w:tabs>
              <w:spacing w:before="0" w:after="0" w:line="240"/>
              <w:ind w:right="21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 –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5"/>
                <w:shd w:fill="auto" w:val="clear"/>
              </w:rPr>
              <w:t xml:space="preserve">очная</w:t>
            </w:r>
          </w:p>
        </w:tc>
      </w:tr>
      <w:tr>
        <w:trPr>
          <w:trHeight w:val="263" w:hRule="auto"/>
          <w:jc w:val="left"/>
        </w:trPr>
        <w:tc>
          <w:tcPr>
            <w:tcW w:w="1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1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ОБЯЗАТЕЛЬНА!</w:t>
            </w:r>
          </w:p>
        </w:tc>
      </w:tr>
      <w:tr>
        <w:trPr>
          <w:trHeight w:val="334" w:hRule="auto"/>
          <w:jc w:val="left"/>
        </w:trPr>
        <w:tc>
          <w:tcPr>
            <w:tcW w:w="1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0" w:leader="none"/>
                <w:tab w:val="left" w:pos="340" w:leader="none"/>
              </w:tabs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Вед.  менеджер МАРИНА АЛЕКСАНДРОВНА сот. 8-910-970-71-42; тел./факс: 8(4852)59-48-15  E-mail: ooo_profcenter@mail.ru</w:t>
            </w:r>
          </w:p>
        </w:tc>
      </w:tr>
    </w:tbl>
    <w:p>
      <w:pPr>
        <w:tabs>
          <w:tab w:val="left" w:pos="11000" w:leader="none"/>
        </w:tabs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11000" w:leader="none"/>
        </w:tabs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11000" w:leader="none"/>
        </w:tabs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11000" w:leader="none"/>
        </w:tabs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000" w:leader="none"/>
        </w:tabs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