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8B720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8B7205">
        <w:rPr>
          <w:sz w:val="28"/>
          <w:szCs w:val="28"/>
        </w:rPr>
        <w:t xml:space="preserve">по </w:t>
      </w:r>
      <w:r w:rsidR="00092008">
        <w:rPr>
          <w:sz w:val="28"/>
          <w:szCs w:val="28"/>
        </w:rPr>
        <w:t>кражи</w:t>
      </w:r>
      <w:r w:rsidR="009E0A18" w:rsidRPr="009E0A18">
        <w:rPr>
          <w:sz w:val="28"/>
          <w:szCs w:val="28"/>
        </w:rPr>
        <w:t xml:space="preserve"> </w:t>
      </w:r>
      <w:r w:rsidR="009E0A18">
        <w:rPr>
          <w:sz w:val="28"/>
          <w:szCs w:val="28"/>
        </w:rPr>
        <w:t>в значительном размере</w:t>
      </w:r>
      <w:r w:rsidR="00092008">
        <w:rPr>
          <w:sz w:val="28"/>
          <w:szCs w:val="28"/>
        </w:rPr>
        <w:t>.</w:t>
      </w:r>
    </w:p>
    <w:p w:rsidR="00092008" w:rsidRDefault="00092008" w:rsidP="009D1975">
      <w:pPr>
        <w:ind w:firstLine="709"/>
        <w:jc w:val="both"/>
        <w:rPr>
          <w:sz w:val="28"/>
          <w:szCs w:val="28"/>
        </w:rPr>
      </w:pPr>
    </w:p>
    <w:p w:rsidR="00EF3C07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EF3C07">
        <w:rPr>
          <w:sz w:val="28"/>
          <w:szCs w:val="28"/>
        </w:rPr>
        <w:t xml:space="preserve"> </w:t>
      </w:r>
      <w:r w:rsidR="00073229">
        <w:rPr>
          <w:sz w:val="28"/>
          <w:szCs w:val="28"/>
        </w:rPr>
        <w:t xml:space="preserve">«а», «б» </w:t>
      </w:r>
      <w:r w:rsidR="009D1975">
        <w:rPr>
          <w:sz w:val="28"/>
          <w:szCs w:val="28"/>
        </w:rPr>
        <w:t xml:space="preserve">ч. </w:t>
      </w:r>
      <w:r w:rsidR="00073229">
        <w:rPr>
          <w:sz w:val="28"/>
          <w:szCs w:val="28"/>
        </w:rPr>
        <w:t>2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EF3C07">
        <w:rPr>
          <w:sz w:val="28"/>
          <w:szCs w:val="28"/>
        </w:rPr>
        <w:t>15</w:t>
      </w:r>
      <w:r w:rsidR="003B100A">
        <w:rPr>
          <w:sz w:val="28"/>
          <w:szCs w:val="28"/>
        </w:rPr>
        <w:t>8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092008">
        <w:rPr>
          <w:sz w:val="28"/>
          <w:szCs w:val="28"/>
        </w:rPr>
        <w:t>кражей</w:t>
      </w:r>
      <w:r w:rsidR="009E0A18" w:rsidRPr="009E0A18">
        <w:rPr>
          <w:sz w:val="28"/>
          <w:szCs w:val="28"/>
        </w:rPr>
        <w:t xml:space="preserve"> </w:t>
      </w:r>
      <w:r w:rsidR="009E0A18">
        <w:rPr>
          <w:sz w:val="28"/>
          <w:szCs w:val="28"/>
        </w:rPr>
        <w:t>в значительном размере</w:t>
      </w:r>
      <w:r w:rsidR="00092008">
        <w:rPr>
          <w:sz w:val="28"/>
          <w:szCs w:val="28"/>
        </w:rPr>
        <w:t>.</w:t>
      </w:r>
    </w:p>
    <w:p w:rsidR="00092008" w:rsidRDefault="00092008" w:rsidP="00826EA8">
      <w:pPr>
        <w:ind w:firstLine="709"/>
        <w:jc w:val="both"/>
        <w:rPr>
          <w:sz w:val="28"/>
          <w:szCs w:val="28"/>
        </w:rPr>
      </w:pPr>
    </w:p>
    <w:p w:rsidR="00B079F7" w:rsidRDefault="00D60DE0" w:rsidP="00EF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073229">
        <w:rPr>
          <w:sz w:val="28"/>
          <w:szCs w:val="28"/>
        </w:rPr>
        <w:t>01</w:t>
      </w:r>
      <w:r w:rsidR="00A6673B">
        <w:rPr>
          <w:sz w:val="28"/>
          <w:szCs w:val="28"/>
        </w:rPr>
        <w:t>.1</w:t>
      </w:r>
      <w:r w:rsidR="00073229">
        <w:rPr>
          <w:sz w:val="28"/>
          <w:szCs w:val="28"/>
        </w:rPr>
        <w:t>1</w:t>
      </w:r>
      <w:r w:rsidR="00A6673B">
        <w:rPr>
          <w:sz w:val="28"/>
          <w:szCs w:val="28"/>
        </w:rPr>
        <w:t xml:space="preserve">.2024 в период с </w:t>
      </w:r>
      <w:r w:rsidR="00073229">
        <w:rPr>
          <w:sz w:val="28"/>
          <w:szCs w:val="28"/>
        </w:rPr>
        <w:t>03</w:t>
      </w:r>
      <w:r w:rsidR="00A6673B">
        <w:rPr>
          <w:sz w:val="28"/>
          <w:szCs w:val="28"/>
        </w:rPr>
        <w:t xml:space="preserve"> часов </w:t>
      </w:r>
      <w:r w:rsidR="00073229">
        <w:rPr>
          <w:sz w:val="28"/>
          <w:szCs w:val="28"/>
        </w:rPr>
        <w:t>18</w:t>
      </w:r>
      <w:r w:rsidR="00A6673B">
        <w:rPr>
          <w:sz w:val="28"/>
          <w:szCs w:val="28"/>
        </w:rPr>
        <w:t xml:space="preserve"> минут до </w:t>
      </w:r>
      <w:r w:rsidR="00073229">
        <w:rPr>
          <w:sz w:val="28"/>
          <w:szCs w:val="28"/>
        </w:rPr>
        <w:t>03</w:t>
      </w:r>
      <w:r w:rsidR="00A6673B">
        <w:rPr>
          <w:sz w:val="28"/>
          <w:szCs w:val="28"/>
        </w:rPr>
        <w:t xml:space="preserve"> часов </w:t>
      </w:r>
      <w:r w:rsidR="00073229">
        <w:rPr>
          <w:sz w:val="28"/>
          <w:szCs w:val="28"/>
        </w:rPr>
        <w:t>27</w:t>
      </w:r>
      <w:r w:rsidR="00A6673B">
        <w:rPr>
          <w:sz w:val="28"/>
          <w:szCs w:val="28"/>
        </w:rPr>
        <w:t xml:space="preserve"> минут, </w:t>
      </w:r>
      <w:r w:rsidR="00073229">
        <w:rPr>
          <w:sz w:val="28"/>
          <w:szCs w:val="28"/>
        </w:rPr>
        <w:t xml:space="preserve">в количестве не менее пяти человек, действуя совместно и группой лиц, путем взлома входных дверей, незаконно проникли в магазин «Магнит Радченское» АО «Тандер», расположены по адресу: Ленинградская область, </w:t>
      </w:r>
      <w:proofErr w:type="spellStart"/>
      <w:r w:rsidR="00073229">
        <w:rPr>
          <w:sz w:val="28"/>
          <w:szCs w:val="28"/>
        </w:rPr>
        <w:t>Волосовский</w:t>
      </w:r>
      <w:proofErr w:type="spellEnd"/>
      <w:r w:rsidR="00073229">
        <w:rPr>
          <w:sz w:val="28"/>
          <w:szCs w:val="28"/>
        </w:rPr>
        <w:t xml:space="preserve"> район, дер. </w:t>
      </w:r>
      <w:proofErr w:type="spellStart"/>
      <w:r w:rsidR="004105FB">
        <w:rPr>
          <w:sz w:val="28"/>
          <w:szCs w:val="28"/>
        </w:rPr>
        <w:t>Курковицы</w:t>
      </w:r>
      <w:proofErr w:type="spellEnd"/>
      <w:r w:rsidR="004105FB">
        <w:rPr>
          <w:sz w:val="28"/>
          <w:szCs w:val="28"/>
        </w:rPr>
        <w:t>, д.26, откуда умышленно, из корыстных побуждений, тайно похитили различную товарную продукцию АО «Тандер», всего на общую сумму не менее 100 000 рублей, чем причинили юридическому лицу материальный ущерб на указанную сумму.</w:t>
      </w:r>
      <w:bookmarkStart w:id="0" w:name="_GoBack"/>
      <w:bookmarkEnd w:id="0"/>
    </w:p>
    <w:p w:rsidR="000175B0" w:rsidRDefault="000175B0" w:rsidP="00EF3C07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15668"/>
    <w:rsid w:val="000175B0"/>
    <w:rsid w:val="0006648E"/>
    <w:rsid w:val="00073229"/>
    <w:rsid w:val="0008520E"/>
    <w:rsid w:val="00092008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B100A"/>
    <w:rsid w:val="003D33CE"/>
    <w:rsid w:val="003E6773"/>
    <w:rsid w:val="003F7443"/>
    <w:rsid w:val="004105FB"/>
    <w:rsid w:val="00441B43"/>
    <w:rsid w:val="00444276"/>
    <w:rsid w:val="0045199D"/>
    <w:rsid w:val="0045499D"/>
    <w:rsid w:val="00495D4E"/>
    <w:rsid w:val="004A1B17"/>
    <w:rsid w:val="004C7BC1"/>
    <w:rsid w:val="004E511B"/>
    <w:rsid w:val="00531388"/>
    <w:rsid w:val="00554D79"/>
    <w:rsid w:val="00563C7D"/>
    <w:rsid w:val="005837A8"/>
    <w:rsid w:val="00593CE2"/>
    <w:rsid w:val="005955D3"/>
    <w:rsid w:val="005967C8"/>
    <w:rsid w:val="005B3B4A"/>
    <w:rsid w:val="005C5CE8"/>
    <w:rsid w:val="005E6ECD"/>
    <w:rsid w:val="00602204"/>
    <w:rsid w:val="006B27F1"/>
    <w:rsid w:val="006B6642"/>
    <w:rsid w:val="006D47C3"/>
    <w:rsid w:val="006E1FE5"/>
    <w:rsid w:val="007A0541"/>
    <w:rsid w:val="007B7553"/>
    <w:rsid w:val="007D0181"/>
    <w:rsid w:val="0080411B"/>
    <w:rsid w:val="00826900"/>
    <w:rsid w:val="00826EA8"/>
    <w:rsid w:val="00827A37"/>
    <w:rsid w:val="008308C1"/>
    <w:rsid w:val="008B7205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C20D0"/>
    <w:rsid w:val="009D1975"/>
    <w:rsid w:val="009E0A18"/>
    <w:rsid w:val="00A027BB"/>
    <w:rsid w:val="00A17E13"/>
    <w:rsid w:val="00A32EE7"/>
    <w:rsid w:val="00A62945"/>
    <w:rsid w:val="00A6673B"/>
    <w:rsid w:val="00A83E13"/>
    <w:rsid w:val="00AA3D5D"/>
    <w:rsid w:val="00AA6256"/>
    <w:rsid w:val="00B079F7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405D4"/>
    <w:rsid w:val="00EB5011"/>
    <w:rsid w:val="00EC011D"/>
    <w:rsid w:val="00EF3C07"/>
    <w:rsid w:val="00EF3C57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2024-12-20T16:18:00Z</dcterms:created>
  <dcterms:modified xsi:type="dcterms:W3CDTF">2024-12-20T16:18:00Z</dcterms:modified>
</cp:coreProperties>
</file>