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Налог на доходы физических лиц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207 Налогового кодекса РФ, налогоплательщиками налога на доходы физических лиц признаются физические лица, являющиеся налоговыми резидентами Российской Федерации, а также физические лица, получающие доходы от источников, в Российской Федерации, не являющиеся налоговыми резидентами Российской Федерации.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ст. 209 Налогового кодекса РФ, объектом налогообложения признается доход, полученный налогоплательщиками: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 источников в Российской Федерации и (или) от источников за пределами Российской Федерации - для физических лиц, являющихся налоговыми резидентами Российской Федерации;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 источников в Российской Федерации - для физических лиц, не являющихся налоговыми резидентами Российской Федерации.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407 Налогового кодекса РФ, право на налоговую льготу имеют следующие категории налогоплательщиков: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инвалиды I и II групп инвалидности;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инвалиды с детства, дети-инвалиды;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лица, имеющие право на получение социальной поддержки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Теча» и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члены семей военнослужащих, потерявших кормильца, признаваемые таковыми в соответствии с Федеральным законом от 27 мая 1998 года № 76-ФЗ «О статусе военнослужащих»;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9.1) лица, принимающие (принимавшие) участие в специальной военной операции;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9.2)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14:paraId="1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9.4) члены семей лиц, указанных в подпунктах 9.1 - 9.3 настоящего пункта;</w:t>
      </w:r>
    </w:p>
    <w:p w14:paraId="1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1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14:paraId="1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14:paraId="1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1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14:paraId="1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14:paraId="1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1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1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14:paraId="1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2024-12-18T22:00:30Z</dcterms:modified>
</cp:coreProperties>
</file>