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-589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взыскании судебной неустойки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Судебная неустойка предусмотрена также Гражданским процессуальным кодексом Российской Федерации и Арбитражным процессуальным кодексом Российской Федерации, которые определяют требования, не зависящие от отраслевой принадлежности спора.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норма Гражданского процессуального кодекса Российской Федерации универсальна, ее допустимо применять в спорах, возникающих из трудовых отношений.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Неустойку можно присуждать в любых случаях неисполнения работодателем судебного акта, по которому он обязан совершить действия, не связанные с передачей имущества или денег.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присудить истцу неустойку ставил бы работника в худшее положение по сравнению с участниками гражданско-правовых споров.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мешают применять судебную неустойку также положения Трудового кодекса Российской Федерации о материальной ответственности работодателя. К ней привлекают только за те действия, которые повлекли для сотрудника утрату или уменьшение заработка.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</w:p>
    <w:p w14:paraId="0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2024-12-18T16:11:10Z</dcterms:modified>
</cp:coreProperties>
</file>