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ужесточении требований к получению охотничьего билета 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19 декабря 2023 года внесены изменения в статью 21 Федерального закона 24.07.2009 № 209-ФЗ «Об охоте и о сохранении охотничьих ресурсов, и о внесении изменений в отдельные законодательные акты Российской Федерации» вступающие в силу с 25 сентября 2025 года.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Данными изменениями возраст при достижении которого может быть получен охотничий билет будет снижен до 16 лет.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Изменения коснутся и требований к знаниям кандидатов, на получение охотничьего билета.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Так, с 25 сентября 2025 года для получения охотничьего билета будет необходимо пройти проверку знаний, входящий в охотминимум, включающий в себя знание требований безопасности, ограничений охоты, основ биологии диких животных, а также навыки безопасного обращения с орудиями охоты, ориентирования на местности, обращения с добытыми охотничьими ресурсами. Порядок проведения проверки необходимых знаний будет устанавливаться Правительством Российской Федерации.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же время охотничий билет возможно получить лишь ознакомившись с требованиями охотничьего минимума под роспись. Кроме того, с 1 января 2025 года будет предусмотрена возможность получения охотничьего билета в электронном виде.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2024-12-18T17:25:22Z</dcterms:modified>
</cp:coreProperties>
</file>