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Устройство отдельного входа в помещение многоквартирного дом</w:t>
      </w:r>
    </w:p>
    <w:p w14:paraId="02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безопасности эксплуатации жилых домов регулируются нормами Градостроительного кодекса Российской Федерации (далее – ГрК РФ), поскольку к градостроительной деятельности относится архитектурно-строительное проектирование, строительство, капитальный ремонт, реконструкция объектов капитального строительства, эксплуатация зданий, сооружений.</w:t>
      </w:r>
    </w:p>
    <w:p w14:paraId="03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 4 ч. 17 ст. 51, ч. 5 ст. 55.24 ГрК РФ выдача разрешения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строительство не требуется в случае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регламентом. Эксплуатация зданий, сооружений должна осуществляться в соответствии с требованиями технических регламентов, нормативных правовых актов РФ, нормативных правовых актов субъектов РФ и муниципальных правовых актов, а также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проектной документацией, исполнительной документацией.</w:t>
      </w:r>
    </w:p>
    <w:p w14:paraId="04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отдельного входа в помещение многоквартирного дома (далее – МКД) связано с разрушением части стены МКД и затрагивает конструктивные характеристики надежности и безопасности дома.</w:t>
      </w:r>
    </w:p>
    <w:p w14:paraId="05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Обозначенные работы возможны лишь при проведения капитального ремонта или реконструкции МКД.</w:t>
      </w:r>
    </w:p>
    <w:p w14:paraId="06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отдельного входа в помещение путём разрушения части внешней (несущей) стены влияет на безопасность всего МКД.</w:t>
      </w:r>
    </w:p>
    <w:p w14:paraId="07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изложенное, выполнение вышеуказанных работ возможно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получении согласия собственников помещений МКД, получении разрешения на строительство (реконструкцию).</w:t>
      </w: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2024-12-18T21:41:44Z</dcterms:modified>
</cp:coreProperties>
</file>