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Внесены изменения в законодательство о транспортной безопасности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Постановлением Правительства Российской Федерации от 16.11.2024 № 1574 внесены изменения в постановление Правительства Российской Федерации от 08.10.2020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Установлено, что для транспортных средств, осуществляющих перевозки пассажиров по маршрутам регулярных перевозок и эксплуатируемых одним субъектом транспортной инфраструктуры (перевозчиком), у которых идентичны категории и классы, соответствующие техническому регламенту Таможенного союза «О безопасности колесных транспортных средств», а также конструктивные элементы, влияющие на применение одинаковых мер по защите этих транспортных средств от актов незаконного вмешательства, паспорт транспортного средства может разрабатываться и утверждаться на группу таких транспортных средств по одному или нескольким маршрутам регулярных перевозок, на которых используются эти транспортные средства.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разработки и утверждения паспорта транспортного средства на группу транспортных средств внесение в него изменений (дополнений), переутверждение и представление в Росавтодор в связи с переходом права собственности на транспортное средство или переходом права его использования на ином законном основании, а также при изменении маршрута регулярной перевозки транспортного средства должны осуществляться в течение 3 месяцев со дня возникновения указанных обстоятельств.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 вступает в силу 26.11.2024.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2024-12-18T22:32:26Z</dcterms:modified>
</cp:coreProperties>
</file>