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EB" w:rsidRDefault="000A2EEB" w:rsidP="000A2EEB">
      <w:pPr>
        <w:pStyle w:val="a3"/>
        <w:spacing w:before="0" w:beforeAutospacing="0"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Одним из основных способов защиты населения от чрезвычайных ситуаций является </w:t>
      </w:r>
      <w:r>
        <w:rPr>
          <w:rFonts w:ascii="Arial" w:hAnsi="Arial" w:cs="Arial"/>
          <w:b/>
          <w:bCs/>
          <w:color w:val="EE1D24"/>
          <w:sz w:val="20"/>
          <w:szCs w:val="20"/>
        </w:rPr>
        <w:t>эвакуация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В отдельных ситуациях (например, при возникновении катастрофического затопления, длительном радиоактивном загрязнении местности)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этот способ является наиболее эффективным.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933450"/>
            <wp:effectExtent l="19050" t="0" r="0" b="0"/>
            <wp:wrapSquare wrapText="bothSides"/>
            <wp:docPr id="2" name="Рисунок 2" descr="https://www.kurgan-city.ru/about/defence/files/evacuation/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gan-city.ru/about/defence/files/evacuation/e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Эвакуация населения </w:t>
      </w:r>
      <w:r>
        <w:rPr>
          <w:rFonts w:ascii="Arial" w:hAnsi="Arial" w:cs="Arial"/>
          <w:color w:val="000000"/>
          <w:sz w:val="20"/>
          <w:szCs w:val="20"/>
        </w:rPr>
        <w:t>– это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Эвакуация считается завершенной, когда все подлежащее эвакуации население будет выведено за границы зоны действия поражающих факторов источника ЧС  в безопасные районы.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EE1D24"/>
          <w:sz w:val="20"/>
          <w:szCs w:val="20"/>
        </w:rPr>
        <w:t>Особенности проведения эвакуации определяются: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-характером источника ЧС (военные действия, радиоактивное или химическое загрязнение или заражение местности, землетрясение, снежная лавина, сель, наводнение);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-пространственно-временными характеристиками воздействия поражающих факторов источника ЧС;</w:t>
      </w:r>
    </w:p>
    <w:p w:rsidR="000A2EEB" w:rsidRDefault="000A2EEB" w:rsidP="000A2EEB">
      <w:pPr>
        <w:pStyle w:val="a3"/>
        <w:spacing w:line="301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-численностью и охватом вывозимого (выводимого)   населения;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-временем и срочностью проведения эвакуационных мероприятий.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  зависимости от времени и сроков проведения выделяются следующие варианты эвакуации населения: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упреждающая</w:t>
      </w:r>
      <w:r>
        <w:rPr>
          <w:rFonts w:ascii="Arial" w:hAnsi="Arial" w:cs="Arial"/>
          <w:color w:val="000000"/>
          <w:sz w:val="20"/>
          <w:szCs w:val="20"/>
        </w:rPr>
        <w:t> (заблаговременная);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экстренная</w:t>
      </w:r>
      <w:r>
        <w:rPr>
          <w:rFonts w:ascii="Arial" w:hAnsi="Arial" w:cs="Arial"/>
          <w:color w:val="000000"/>
          <w:sz w:val="20"/>
          <w:szCs w:val="20"/>
        </w:rPr>
        <w:t> (безотлагательная).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получении достоверных  данных о высокой вероятности возникновения аварии на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1076325"/>
            <wp:effectExtent l="19050" t="0" r="0" b="0"/>
            <wp:wrapSquare wrapText="bothSides"/>
            <wp:docPr id="3" name="Рисунок 3" descr="https://www.kurgan-city.ru/about/defence/files/evacuation/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urgan-city.ru/about/defence/files/evacuation/ev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потенциально опасных объектах или стихийного бедствия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проводится упреждающая (заблаговременная) эвакуация</w:t>
      </w:r>
      <w:r>
        <w:rPr>
          <w:rFonts w:ascii="Arial" w:hAnsi="Arial" w:cs="Arial"/>
          <w:color w:val="000000"/>
          <w:sz w:val="20"/>
          <w:szCs w:val="20"/>
        </w:rPr>
        <w:t> населения из зон возможного действия поражающих факторов (прогнозируемых зон ЧС).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Основанием для введения данной меры</w:t>
      </w:r>
      <w:r>
        <w:rPr>
          <w:rFonts w:ascii="Arial" w:hAnsi="Arial" w:cs="Arial"/>
          <w:color w:val="000000"/>
          <w:sz w:val="20"/>
          <w:szCs w:val="20"/>
        </w:rPr>
        <w:t> защиты является краткосрочный прогноз возникновения  аварии или стихийного бедствия на период от нескольких десятков минут до нескольких суток, который может уточняться в течение этого срока.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случае возникновения ЧС проводится экстренная эвакуация населения.</w:t>
      </w:r>
      <w:r>
        <w:rPr>
          <w:rFonts w:ascii="Arial" w:hAnsi="Arial" w:cs="Arial"/>
          <w:color w:val="000000"/>
          <w:sz w:val="20"/>
          <w:szCs w:val="20"/>
        </w:rPr>
        <w:t> 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 угрозе возникновения любой чрезвычайной ситуации </w:t>
      </w:r>
      <w:r>
        <w:rPr>
          <w:rFonts w:ascii="Arial" w:hAnsi="Arial" w:cs="Arial"/>
          <w:b/>
          <w:bCs/>
          <w:color w:val="EE1D24"/>
          <w:sz w:val="20"/>
          <w:szCs w:val="20"/>
        </w:rPr>
        <w:t>население предупреждается о возможной опасности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оповещения населения предусматривает сначала, при любом характере опасности,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включение электрических сирен</w:t>
      </w:r>
      <w:r>
        <w:rPr>
          <w:rFonts w:ascii="Arial" w:hAnsi="Arial" w:cs="Arial"/>
          <w:color w:val="000000"/>
          <w:sz w:val="20"/>
          <w:szCs w:val="20"/>
        </w:rPr>
        <w:t>, прерывистый (завывающий) звук которых означает единый сигнал опасности </w:t>
      </w:r>
      <w:r>
        <w:rPr>
          <w:rFonts w:ascii="Arial" w:hAnsi="Arial" w:cs="Arial"/>
          <w:b/>
          <w:bCs/>
          <w:color w:val="EE1D24"/>
          <w:sz w:val="20"/>
          <w:szCs w:val="20"/>
        </w:rPr>
        <w:t>«Внимание всем!»</w:t>
      </w:r>
      <w:r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Услышав этот звук (сигнал), люди должны </w:t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немедленно включить имеющиеся у них средства приема речевой информации</w:t>
      </w:r>
      <w:r>
        <w:rPr>
          <w:rFonts w:ascii="Arial" w:hAnsi="Arial" w:cs="Arial"/>
          <w:color w:val="000000"/>
          <w:sz w:val="20"/>
          <w:szCs w:val="20"/>
        </w:rPr>
        <w:t> — радиоточки, радиоприемники и телевизоры, чтобы прослушать информационные сообщения о характере и масштабах угрозы, а также рекомендации наиболее рационального способа своего поведения в создавшихся условиях.</w:t>
      </w:r>
    </w:p>
    <w:p w:rsidR="000A2EEB" w:rsidRDefault="000A2EEB" w:rsidP="000A2EEB">
      <w:pPr>
        <w:pStyle w:val="a3"/>
        <w:spacing w:line="301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Речевая информация должна быть краткой, понятной и достаточно содержательной, позволяющей понять, что случилось и что следует делать.</w:t>
      </w:r>
    </w:p>
    <w:p w:rsidR="000A2EEB" w:rsidRDefault="000A2EEB" w:rsidP="000A2EEB">
      <w:pPr>
        <w:pStyle w:val="a3"/>
        <w:spacing w:line="301" w:lineRule="atLeast"/>
        <w:ind w:right="-1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получении информации об аварии с АХОВ наденьте средства защиты органов  дыхания, средства защиты кожи (плащ, накидка),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покиньте район аварии</w:t>
      </w:r>
      <w:r>
        <w:rPr>
          <w:rFonts w:ascii="Arial" w:hAnsi="Arial" w:cs="Arial"/>
          <w:color w:val="000000"/>
          <w:sz w:val="20"/>
          <w:szCs w:val="20"/>
        </w:rPr>
        <w:t> в направлении, указанном МКУ «Управление по делам ГО и ЧС горда Кургана».</w:t>
      </w:r>
    </w:p>
    <w:p w:rsidR="000A2EEB" w:rsidRDefault="000A2EEB" w:rsidP="000A2EEB">
      <w:pPr>
        <w:pStyle w:val="a3"/>
        <w:spacing w:line="301" w:lineRule="atLeast"/>
        <w:ind w:right="-1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Выходить из зоны химического заражения следует в сторону, перпендикулярную  направлению ветра. Если из опасной зоны выйти невозможно, останьтесь в помещении и произведите его экстренную герметизацию: плотно закройте окна, двери, вентиляционные отверстия, дымоходы, уплотните щели в окнах и на стыках рам.</w:t>
      </w:r>
    </w:p>
    <w:p w:rsidR="000A2EEB" w:rsidRDefault="000A2EEB" w:rsidP="000A2EEB">
      <w:pPr>
        <w:pStyle w:val="a3"/>
        <w:spacing w:line="301" w:lineRule="atLeast"/>
        <w:ind w:right="-1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Выйдя из опасной зоны, снимите верхнюю одежду, оставьте ее на улице, примите душ, промойте глаза и носоглотку.</w:t>
      </w:r>
    </w:p>
    <w:p w:rsidR="000A2EEB" w:rsidRDefault="000A2EEB" w:rsidP="000A2EEB">
      <w:pPr>
        <w:pStyle w:val="a3"/>
        <w:spacing w:after="0" w:afterAutospacing="0" w:line="301" w:lineRule="atLeast"/>
        <w:ind w:right="-1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 появлении признаков отравления: </w:t>
      </w:r>
      <w:r>
        <w:rPr>
          <w:rFonts w:ascii="Arial" w:hAnsi="Arial" w:cs="Arial"/>
          <w:color w:val="000000"/>
          <w:sz w:val="20"/>
          <w:szCs w:val="20"/>
        </w:rPr>
        <w:t>покой, теплое питье, обратитесь к врачу.</w:t>
      </w:r>
    </w:p>
    <w:p w:rsidR="00031883" w:rsidRDefault="00031883"/>
    <w:sectPr w:rsidR="00031883" w:rsidSect="000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EEB"/>
    <w:rsid w:val="00031883"/>
    <w:rsid w:val="000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2022-11-24T07:55:00Z</dcterms:created>
  <dcterms:modified xsi:type="dcterms:W3CDTF">2022-11-24T08:03:00Z</dcterms:modified>
</cp:coreProperties>
</file>